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9C7A9E" w:rsidTr="00A269BC">
        <w:tc>
          <w:tcPr>
            <w:tcW w:w="10173" w:type="dxa"/>
          </w:tcPr>
          <w:p w:rsidR="009C7A9E" w:rsidRPr="009C7A9E" w:rsidRDefault="00D643A6" w:rsidP="009C7A9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 GLOBAL </w:t>
            </w:r>
            <w:r w:rsid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BDR ADVISORY DÓLAR </w:t>
            </w:r>
            <w:r w:rsidR="009C7A9E" w:rsidRP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MASTER FUNDO DE INVESTIMENTO EM AÇÕES BDR NÍVEL I</w:t>
            </w:r>
          </w:p>
          <w:p w:rsidR="00454C47" w:rsidRPr="009C7A9E" w:rsidRDefault="009C7A9E" w:rsidP="00D643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CNPJ/ME nº </w:t>
            </w:r>
            <w:r w:rsidR="003731AE" w:rsidRPr="003731AE">
              <w:rPr>
                <w:rFonts w:ascii="Corbel" w:hAnsi="Corbel"/>
                <w:b/>
                <w:sz w:val="20"/>
                <w:szCs w:val="20"/>
              </w:rPr>
              <w:t>42.280.188/0001-19</w:t>
            </w:r>
            <w:r w:rsidR="003731AE" w:rsidRPr="003731AE" w:rsidDel="003731AE">
              <w:rPr>
                <w:rFonts w:ascii="Corbel" w:hAnsi="Corbel" w:cs="Tahoma"/>
                <w:b/>
                <w:sz w:val="22"/>
                <w:szCs w:val="22"/>
                <w:u w:val="single"/>
              </w:rPr>
              <w:t xml:space="preserve"> </w:t>
            </w:r>
            <w:r w:rsidR="00454C47" w:rsidRPr="009C7A9E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9C7A9E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9C7A9E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9C7A9E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9C7A9E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9C7A9E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9C7A9E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F7756F" w:rsidRPr="009C7A9E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9C7A9E" w:rsidTr="00A269BC">
        <w:tc>
          <w:tcPr>
            <w:tcW w:w="10173" w:type="dxa"/>
          </w:tcPr>
          <w:p w:rsidR="00454C47" w:rsidRPr="009C7A9E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9C7A9E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9C7A9E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9C7A9E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9C7A9E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9C7A9E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9C7A9E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b/>
          <w:color w:val="000000"/>
          <w:sz w:val="19"/>
          <w:szCs w:val="19"/>
        </w:rPr>
        <w:t>(a)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9C7A9E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9C7A9E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9C7A9E">
        <w:rPr>
          <w:rFonts w:ascii="Corbel" w:hAnsi="Corbel" w:cs="Tahoma"/>
          <w:color w:val="000000"/>
          <w:sz w:val="19"/>
          <w:szCs w:val="19"/>
        </w:rPr>
        <w:t xml:space="preserve">FUNDO </w:t>
      </w:r>
      <w:r w:rsidR="00446475">
        <w:rPr>
          <w:rFonts w:ascii="Corbel" w:hAnsi="Corbel" w:cs="Tahoma"/>
          <w:color w:val="000000"/>
          <w:sz w:val="19"/>
          <w:szCs w:val="19"/>
        </w:rPr>
        <w:t>podem</w:t>
      </w:r>
      <w:r w:rsidR="00393081" w:rsidRPr="009C7A9E">
        <w:rPr>
          <w:rFonts w:ascii="Corbel" w:hAnsi="Corbel" w:cs="Tahoma"/>
          <w:color w:val="000000"/>
          <w:sz w:val="19"/>
          <w:szCs w:val="19"/>
        </w:rPr>
        <w:t xml:space="preserve"> </w:t>
      </w:r>
      <w:r w:rsidR="00446475" w:rsidRPr="00446475">
        <w:rPr>
          <w:rFonts w:ascii="Corbel" w:hAnsi="Corbel" w:cs="Tahoma"/>
          <w:color w:val="000000"/>
          <w:sz w:val="19"/>
          <w:szCs w:val="19"/>
        </w:rPr>
        <w:t>resultar em perdas superiores ao capital aplicado e a consequente obrigação do cotista de aportar recursos adicionais para cobrir o prejuízo do FUNDO</w:t>
      </w:r>
      <w:r w:rsidR="00446475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C7A9E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9C7A9E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F7756F" w:rsidRDefault="00454C47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 w:rsidRPr="009C7A9E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Risco do Investimento em </w:t>
      </w:r>
      <w:proofErr w:type="spellStart"/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: 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o FUNDO investirá preponderantemente em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Nível I de emissão de companhias abertas, ou assemelhadas, com sede no exterior, cuja negociação seja admitida no mercado local, tendo, portanto, como RISCO ESPECÍFICO ou principal fator de risco, a variação de preços dos certificados de ações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Nível I de emissão de empresas norte-americanas e/ou listadas nas bolsas norte-americanas de diversos setores econômicos, cuja negociação seja admitida no mercado local.</w:t>
      </w:r>
    </w:p>
    <w:p w:rsidR="00446475" w:rsidRPr="009C7A9E" w:rsidRDefault="00446475" w:rsidP="00446475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>
        <w:rPr>
          <w:rFonts w:ascii="Corbel" w:hAnsi="Corbel"/>
          <w:bCs/>
          <w:sz w:val="19"/>
          <w:szCs w:val="19"/>
        </w:rPr>
        <w:t>2</w:t>
      </w:r>
      <w:r w:rsidRPr="009C7A9E">
        <w:rPr>
          <w:rFonts w:ascii="Corbel" w:hAnsi="Corbel"/>
          <w:bCs/>
          <w:sz w:val="19"/>
          <w:szCs w:val="19"/>
        </w:rPr>
        <w:t>-</w:t>
      </w:r>
      <w:r w:rsidRPr="009C7A9E">
        <w:rPr>
          <w:rFonts w:ascii="Corbel" w:hAnsi="Corbel"/>
          <w:b/>
          <w:sz w:val="19"/>
          <w:szCs w:val="19"/>
        </w:rPr>
        <w:t xml:space="preserve"> Mercado:</w:t>
      </w:r>
      <w:r w:rsidRPr="009C7A9E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9C7A9E">
        <w:rPr>
          <w:rFonts w:ascii="Corbel" w:hAnsi="Corbel"/>
          <w:sz w:val="19"/>
          <w:szCs w:val="19"/>
        </w:rPr>
        <w:t>aquisição</w:t>
      </w:r>
      <w:proofErr w:type="gramEnd"/>
      <w:r w:rsidRPr="009C7A9E">
        <w:rPr>
          <w:rFonts w:ascii="Corbel" w:hAnsi="Corbel"/>
          <w:sz w:val="19"/>
          <w:szCs w:val="19"/>
        </w:rPr>
        <w:t xml:space="preserve"> e a de resgate, vencimento ou venda. As oscilações poderão ocorrer em função da reação dos mercados frente a notícias econômicas e políticas, podendo responder a notícias específicas a respeito dos emissores dos ativos da carteira do FUNDO. Em relação às ações, o seu preço </w:t>
      </w:r>
      <w:r w:rsidRPr="009C7A9E">
        <w:rPr>
          <w:rFonts w:ascii="Corbel" w:hAnsi="Corbel"/>
          <w:sz w:val="19"/>
          <w:szCs w:val="19"/>
        </w:rPr>
        <w:lastRenderedPageBreak/>
        <w:t xml:space="preserve">depende de fatores específicos das companhias emissoras bem como de fatores globais da economia brasileira e internacional. </w:t>
      </w:r>
    </w:p>
    <w:p w:rsidR="00F7756F" w:rsidRPr="009C7A9E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>
        <w:rPr>
          <w:rFonts w:ascii="Corbel" w:eastAsia="SimSun" w:hAnsi="Corbel" w:cs="Arial Narrow"/>
          <w:bCs/>
          <w:sz w:val="19"/>
          <w:szCs w:val="19"/>
          <w:lang w:eastAsia="zh-CN"/>
        </w:rPr>
        <w:t>3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- </w:t>
      </w:r>
      <w:r w:rsidR="00F7756F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>Risco Cambial: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o FUNDO poderá sofrer perdas decorrentes da variação cambial do dólar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norteamericano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, moeda do país dos emissores das ações que lastreiam os </w:t>
      </w:r>
      <w:proofErr w:type="spellStart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>BDRs</w:t>
      </w:r>
      <w:proofErr w:type="spellEnd"/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a serem adquiridos. Assim sendo, caso haja valorização do Real em relação à moeda estrangeira, poderá ocorrer impacto negativo no FUNDO.</w:t>
      </w:r>
    </w:p>
    <w:p w:rsidR="00F7756F" w:rsidRPr="009C7A9E" w:rsidRDefault="00446475" w:rsidP="00F7756F">
      <w:pPr>
        <w:tabs>
          <w:tab w:val="left" w:pos="426"/>
        </w:tabs>
        <w:jc w:val="both"/>
        <w:rPr>
          <w:rFonts w:ascii="Corbel" w:eastAsia="SimSun" w:hAnsi="Corbel" w:cs="Arial Narrow"/>
          <w:bCs/>
          <w:sz w:val="19"/>
          <w:szCs w:val="19"/>
          <w:lang w:eastAsia="zh-CN"/>
        </w:rPr>
      </w:pPr>
      <w:r>
        <w:rPr>
          <w:rFonts w:ascii="Corbel" w:eastAsia="SimSun" w:hAnsi="Corbel" w:cs="Arial Narrow"/>
          <w:bCs/>
          <w:sz w:val="19"/>
          <w:szCs w:val="19"/>
          <w:lang w:eastAsia="zh-CN"/>
        </w:rPr>
        <w:t>4</w:t>
      </w:r>
      <w:r w:rsidR="00F7756F" w:rsidRPr="009C7A9E"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- </w:t>
      </w:r>
      <w:r w:rsidRPr="00446475">
        <w:rPr>
          <w:rFonts w:ascii="Corbel" w:eastAsia="SimSun" w:hAnsi="Corbel" w:cs="Arial Narrow"/>
          <w:b/>
          <w:bCs/>
          <w:sz w:val="19"/>
          <w:szCs w:val="19"/>
          <w:lang w:eastAsia="zh-CN"/>
        </w:rPr>
        <w:t>Risco de</w:t>
      </w:r>
      <w:r>
        <w:rPr>
          <w:rFonts w:ascii="Corbel" w:eastAsia="SimSun" w:hAnsi="Corbel" w:cs="Arial Narrow"/>
          <w:bCs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46475" w:rsidRDefault="00F7756F" w:rsidP="00F7756F">
      <w:pPr>
        <w:tabs>
          <w:tab w:val="left" w:pos="426"/>
        </w:tabs>
        <w:jc w:val="both"/>
        <w:rPr>
          <w:rFonts w:ascii="Corbel" w:eastAsia="SimSun" w:hAnsi="Corbel" w:cs="Arial Narrow"/>
          <w:b/>
          <w:sz w:val="19"/>
          <w:szCs w:val="19"/>
          <w:lang w:eastAsia="zh-CN"/>
        </w:rPr>
      </w:pPr>
      <w:r w:rsidRPr="009C7A9E">
        <w:rPr>
          <w:rFonts w:ascii="Corbel" w:hAnsi="Corbel"/>
          <w:sz w:val="19"/>
          <w:szCs w:val="19"/>
        </w:rPr>
        <w:t>5</w:t>
      </w:r>
      <w:r w:rsidR="00454C47" w:rsidRPr="009C7A9E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9C7A9E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46475" w:rsidRPr="00446475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Risco de Liquidez: </w:t>
      </w:r>
      <w:r w:rsidR="00446475" w:rsidRPr="00446475">
        <w:rPr>
          <w:rFonts w:ascii="Corbel" w:eastAsia="SimSun" w:hAnsi="Corbel" w:cs="Arial Narrow"/>
          <w:sz w:val="19"/>
          <w:szCs w:val="19"/>
          <w:lang w:eastAsia="zh-CN"/>
        </w:rPr>
        <w:t>é caracterizado pela redução acentuada ou mesmo pela falta de demanda pelos ativos componentes da carteira do FUNDO, dificultando ou impedindo a venda de posições pela GESTORA no preço e no momento desejado. A ausência e/ou diminuição da “liquidez” pode produzir perdas para o FUNDO e/ou a incapacidade, pelo FUNDO, de liquidar e/ou precificar adequadamente determinados ativos.</w:t>
      </w:r>
    </w:p>
    <w:p w:rsidR="00446475" w:rsidRDefault="00446475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</w:p>
    <w:p w:rsidR="00454C47" w:rsidRPr="009C7A9E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9C7A9E" w:rsidRDefault="00F7756F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de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9C7A9E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9C7A9E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A9E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9C7A9E">
        <w:rPr>
          <w:rFonts w:ascii="Corbel" w:hAnsi="Corbel" w:cs="Tahoma"/>
          <w:color w:val="000000"/>
          <w:sz w:val="19"/>
          <w:szCs w:val="19"/>
        </w:rPr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9C7A9E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9C7A9E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9C7A9E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9C7A9E">
        <w:rPr>
          <w:rFonts w:ascii="Corbel" w:hAnsi="Corbel" w:cs="Tahoma"/>
          <w:color w:val="000000"/>
          <w:sz w:val="19"/>
          <w:szCs w:val="19"/>
        </w:rPr>
        <w:t>____________________________</w:t>
      </w:r>
    </w:p>
    <w:p w:rsidR="00E15217" w:rsidRPr="009C7A9E" w:rsidRDefault="00446475" w:rsidP="00446475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Assinatura do cliente</w:t>
      </w:r>
    </w:p>
    <w:sectPr w:rsidR="00E15217" w:rsidRPr="009C7A9E" w:rsidSect="00D6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2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3"/>
  <w:p w:rsidR="00446475" w:rsidRDefault="00446475" w:rsidP="00446475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 w:rsidRPr="00D643A6">
      <w:rPr>
        <w:rFonts w:ascii="Corbel" w:hAnsi="Corbel" w:cs="Corbel"/>
        <w:color w:val="000000"/>
        <w:sz w:val="17"/>
      </w:rPr>
      <w:t> </w:t>
    </w:r>
  </w:p>
  <w:p w:rsidR="00EF7948" w:rsidRDefault="00EF7948" w:rsidP="00D643A6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</w:rPr>
    </w:pPr>
  </w:p>
  <w:bookmarkEnd w:id="4"/>
  <w:p w:rsidR="00EF7948" w:rsidRDefault="00EF7948" w:rsidP="00EF7948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EF7948" w:rsidRPr="004577BA" w:rsidRDefault="00EF7948" w:rsidP="00EF7948">
    <w:pPr>
      <w:pStyle w:val="Footer"/>
      <w:rPr>
        <w:rFonts w:ascii="BNPP Sans Light" w:hAnsi="BNPP Sans Light"/>
        <w:sz w:val="16"/>
        <w:szCs w:val="16"/>
      </w:rPr>
    </w:pPr>
  </w:p>
  <w:p w:rsidR="00EF7948" w:rsidRDefault="00EF7948" w:rsidP="00EF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  <w:lang w:val="en-US" w:eastAsia="en-US"/>
      </w:rPr>
      <w:drawing>
        <wp:inline distT="0" distB="0" distL="0" distR="0" wp14:anchorId="1A572DF8" wp14:editId="1D8B3154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22D357B3" wp14:editId="20D837C2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8" w:rsidRDefault="00EF7948" w:rsidP="00EF7948">
    <w:pPr>
      <w:pStyle w:val="Header"/>
    </w:pPr>
    <w:r>
      <w:rPr>
        <w:noProof/>
        <w:lang w:val="en-US" w:eastAsia="en-US"/>
      </w:rPr>
      <w:drawing>
        <wp:inline distT="0" distB="0" distL="0" distR="0" wp14:anchorId="7A0877FF" wp14:editId="31F063D4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948" w:rsidRDefault="00EF7948" w:rsidP="00EF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D0o0vL2bvkne8tQ2+Cayu4PzT7qwujg+U0TJPlx+gkA2NYnv44AEIy1VWPQtdZ5Nb8duLvbBNqtAWtLDOovQ==" w:salt="TZWxMluuBsR5D6as/uTiaA==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731AE"/>
    <w:rsid w:val="00393081"/>
    <w:rsid w:val="00446475"/>
    <w:rsid w:val="00454C47"/>
    <w:rsid w:val="004577BA"/>
    <w:rsid w:val="004C6FD6"/>
    <w:rsid w:val="006D111C"/>
    <w:rsid w:val="006F0F07"/>
    <w:rsid w:val="00783D01"/>
    <w:rsid w:val="008A1D64"/>
    <w:rsid w:val="009C7A9E"/>
    <w:rsid w:val="00AB7194"/>
    <w:rsid w:val="00D643A6"/>
    <w:rsid w:val="00E15217"/>
    <w:rsid w:val="00EF7948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F5AE40D-F30D-4F27-9FF7-205E83BB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6A99-17FF-4950-9749-028F3DA2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659</Words>
  <Characters>3619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8</cp:revision>
  <dcterms:created xsi:type="dcterms:W3CDTF">2017-08-29T19:46:00Z</dcterms:created>
  <dcterms:modified xsi:type="dcterms:W3CDTF">2021-07-28T13:55:00Z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ff233c1e-0cb9-49bb-aca4-509f01eb29fc</vt:lpwstr>
  </property>
  <property fmtid="{D5CDD505-2E9C-101B-9397-08002B2CF9AE}" pid="3" name="_AdHocReviewCycleID">
    <vt:i4>-1515744828</vt:i4>
  </property>
  <property fmtid="{D5CDD505-2E9C-101B-9397-08002B2CF9AE}" pid="4" name="_NewReviewCycle">
    <vt:lpwstr/>
  </property>
  <property fmtid="{D5CDD505-2E9C-101B-9397-08002B2CF9AE}" pid="5" name="_EmailSubject">
    <vt:lpwstr>Fundo novo_M GLOBAL BDR ADVISORY DÓLAR MÁSTER FIA BDR NÍVEL I.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